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F09A" w14:textId="77777777" w:rsidR="00577A51" w:rsidRDefault="00915417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  <w:bookmarkEnd w:id="0"/>
    </w:p>
    <w:p w14:paraId="26CFAEC1" w14:textId="77777777" w:rsidR="00ED199A" w:rsidRDefault="00ED199A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</w:pPr>
    </w:p>
    <w:p w14:paraId="2A6B05C5" w14:textId="2545D9C4" w:rsidR="002E2AD6" w:rsidRPr="00577A51" w:rsidRDefault="002E2AD6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r w:rsidRPr="00DB1189">
        <w:t xml:space="preserve">Comunicato stampa n. </w:t>
      </w:r>
      <w:r w:rsidR="00C746C2">
        <w:t>5</w:t>
      </w:r>
      <w:r w:rsidR="003C4461">
        <w:t>2</w:t>
      </w:r>
      <w:r w:rsidRPr="00DB1189">
        <w:t>/2024</w:t>
      </w:r>
    </w:p>
    <w:p w14:paraId="324DC5B0" w14:textId="77777777" w:rsidR="004A0CB8" w:rsidRPr="00E71BF4" w:rsidRDefault="004A0CB8" w:rsidP="003C4461">
      <w:pPr>
        <w:ind w:left="2268"/>
        <w:jc w:val="both"/>
        <w:rPr>
          <w:sz w:val="28"/>
          <w:szCs w:val="28"/>
        </w:rPr>
      </w:pPr>
    </w:p>
    <w:p w14:paraId="7253D555" w14:textId="77777777" w:rsidR="003C4461" w:rsidRPr="004011F3" w:rsidRDefault="003C4461" w:rsidP="003C4461">
      <w:pPr>
        <w:shd w:val="clear" w:color="auto" w:fill="FFFFFF"/>
        <w:ind w:left="2268"/>
        <w:jc w:val="both"/>
        <w:rPr>
          <w:b/>
          <w:bCs/>
          <w:iCs/>
          <w:color w:val="222222"/>
        </w:rPr>
      </w:pPr>
      <w:r w:rsidRPr="004011F3">
        <w:rPr>
          <w:b/>
          <w:bCs/>
          <w:iCs/>
          <w:color w:val="222222"/>
        </w:rPr>
        <w:t>Crediti di carbonio, opportunità da gestire</w:t>
      </w:r>
    </w:p>
    <w:p w14:paraId="152C08F4" w14:textId="77777777" w:rsidR="003C4461" w:rsidRPr="004011F3" w:rsidRDefault="003C4461" w:rsidP="003C4461">
      <w:pPr>
        <w:shd w:val="clear" w:color="auto" w:fill="FFFFFF"/>
        <w:ind w:left="2268"/>
        <w:jc w:val="both"/>
        <w:rPr>
          <w:b/>
          <w:bCs/>
          <w:i/>
          <w:iCs/>
          <w:color w:val="222222"/>
        </w:rPr>
      </w:pPr>
    </w:p>
    <w:p w14:paraId="556041D8" w14:textId="751D52B9" w:rsidR="003C4461" w:rsidRPr="004011F3" w:rsidRDefault="003C4461" w:rsidP="003C4461">
      <w:pPr>
        <w:shd w:val="clear" w:color="auto" w:fill="FFFFFF"/>
        <w:ind w:left="2268"/>
        <w:jc w:val="both"/>
        <w:rPr>
          <w:color w:val="222222"/>
        </w:rPr>
      </w:pPr>
      <w:r>
        <w:rPr>
          <w:b/>
          <w:bCs/>
          <w:i/>
          <w:iCs/>
          <w:color w:val="222222"/>
        </w:rPr>
        <w:t xml:space="preserve">Nella seconda giornata di </w:t>
      </w:r>
      <w:r w:rsidRPr="004011F3">
        <w:rPr>
          <w:b/>
          <w:bCs/>
          <w:i/>
          <w:iCs/>
          <w:color w:val="222222"/>
        </w:rPr>
        <w:t>E</w:t>
      </w:r>
      <w:r>
        <w:rPr>
          <w:b/>
          <w:bCs/>
          <w:i/>
          <w:iCs/>
          <w:color w:val="222222"/>
        </w:rPr>
        <w:t>IMA</w:t>
      </w:r>
      <w:r w:rsidRPr="004011F3">
        <w:rPr>
          <w:b/>
          <w:bCs/>
          <w:i/>
          <w:iCs/>
          <w:color w:val="222222"/>
        </w:rPr>
        <w:t xml:space="preserve"> International</w:t>
      </w:r>
      <w:r>
        <w:rPr>
          <w:b/>
          <w:bCs/>
          <w:i/>
          <w:iCs/>
          <w:color w:val="222222"/>
        </w:rPr>
        <w:t xml:space="preserve">, la rassegna mondiale della meccanica agricola in svolgimento a Bologna, un convegno promosso da </w:t>
      </w:r>
      <w:proofErr w:type="spellStart"/>
      <w:r>
        <w:rPr>
          <w:b/>
          <w:bCs/>
          <w:i/>
          <w:iCs/>
          <w:color w:val="222222"/>
        </w:rPr>
        <w:t>Edagricole</w:t>
      </w:r>
      <w:proofErr w:type="spellEnd"/>
      <w:r>
        <w:rPr>
          <w:b/>
          <w:bCs/>
          <w:i/>
          <w:iCs/>
          <w:color w:val="222222"/>
        </w:rPr>
        <w:t xml:space="preserve"> ha fatto punto sulla regolamentazione e sulle prospettive dei crediti di carbonio</w:t>
      </w:r>
      <w:r w:rsidRPr="004011F3">
        <w:rPr>
          <w:b/>
          <w:bCs/>
          <w:i/>
          <w:iCs/>
          <w:color w:val="222222"/>
        </w:rPr>
        <w:t xml:space="preserve">. </w:t>
      </w:r>
      <w:r>
        <w:rPr>
          <w:b/>
          <w:bCs/>
          <w:i/>
          <w:iCs/>
          <w:color w:val="222222"/>
        </w:rPr>
        <w:t>Per l’agricoltore questi costituiscono una nuova forma</w:t>
      </w:r>
      <w:r w:rsidRPr="004011F3">
        <w:rPr>
          <w:b/>
          <w:bCs/>
          <w:i/>
          <w:iCs/>
          <w:color w:val="222222"/>
        </w:rPr>
        <w:t xml:space="preserve"> di reddito con co-benefici agronomici e ambientali </w:t>
      </w:r>
    </w:p>
    <w:p w14:paraId="68CAE710" w14:textId="77777777" w:rsidR="003C4461" w:rsidRDefault="003C4461" w:rsidP="003C4461">
      <w:pPr>
        <w:ind w:left="2268"/>
        <w:jc w:val="both"/>
      </w:pPr>
    </w:p>
    <w:p w14:paraId="4B0F4AB8" w14:textId="77777777" w:rsidR="003C4461" w:rsidRPr="00427754" w:rsidRDefault="003C4461" w:rsidP="003C4461">
      <w:pPr>
        <w:ind w:left="2268"/>
        <w:jc w:val="both"/>
      </w:pPr>
      <w:r w:rsidRPr="00427754">
        <w:t xml:space="preserve">Per evitare un riscaldamento globale catastrofico, le strategie di cattura e stoccaggio del carbonio atmosferico sono essenziali e complementari alla riduzione delle emissioni di gas serra di origine fossile e biogenica. </w:t>
      </w:r>
      <w:r w:rsidRPr="005F7621">
        <w:t xml:space="preserve">Questo il tema toccato da Michele </w:t>
      </w:r>
      <w:proofErr w:type="spellStart"/>
      <w:r>
        <w:t>Pisante</w:t>
      </w:r>
      <w:proofErr w:type="spellEnd"/>
      <w:r>
        <w:t xml:space="preserve"> dell’Università di Teramo, nel corso dell’incontro intitolato</w:t>
      </w:r>
      <w:r w:rsidRPr="00427754">
        <w:t xml:space="preserve"> l’incontro “Crediti di carbonio, un’opportunità per tutti i settori”</w:t>
      </w:r>
      <w:r>
        <w:t xml:space="preserve"> organizzato da </w:t>
      </w:r>
      <w:proofErr w:type="spellStart"/>
      <w:r w:rsidRPr="00427754">
        <w:t>Edagricole</w:t>
      </w:r>
      <w:proofErr w:type="spellEnd"/>
      <w:r w:rsidRPr="00427754">
        <w:t xml:space="preserve"> per definire lo scenario di un comparto che ancora</w:t>
      </w:r>
      <w:r>
        <w:t xml:space="preserve"> deve trovare precisi</w:t>
      </w:r>
      <w:r w:rsidRPr="00427754">
        <w:t xml:space="preserve"> parametri di riferimento.</w:t>
      </w:r>
      <w:r>
        <w:t xml:space="preserve"> </w:t>
      </w:r>
      <w:r w:rsidRPr="00427754">
        <w:t xml:space="preserve">«Il monitoraggio coerente e accurato delle variazioni degli stock di carbonio organico nel suolo e delle emissioni nette di gas serra, la revisione e la loro verifica – evidenzia </w:t>
      </w:r>
      <w:proofErr w:type="spellStart"/>
      <w:r w:rsidRPr="00427754">
        <w:t>Pisante</w:t>
      </w:r>
      <w:proofErr w:type="spellEnd"/>
      <w:r w:rsidRPr="00427754">
        <w:t xml:space="preserve"> - sono fondamentali per facilitare gli investimenti in pratiche di uso del suolo sostenibili che mantengano o aumentino gli stock di carbonio organico nel suolo</w:t>
      </w:r>
      <w:r>
        <w:t xml:space="preserve"> stesso</w:t>
      </w:r>
      <w:r w:rsidRPr="00427754">
        <w:t>».</w:t>
      </w:r>
      <w:r>
        <w:t xml:space="preserve"> </w:t>
      </w:r>
      <w:r w:rsidRPr="00427754">
        <w:t xml:space="preserve">«Iniziative private collegate ai mercati volontari del carbonio – continua </w:t>
      </w:r>
      <w:proofErr w:type="spellStart"/>
      <w:r w:rsidRPr="00427754">
        <w:t>Pisante</w:t>
      </w:r>
      <w:proofErr w:type="spellEnd"/>
      <w:r w:rsidRPr="00427754">
        <w:t xml:space="preserve"> – possono integrare e promuovere su larga scala</w:t>
      </w:r>
      <w:r>
        <w:t xml:space="preserve"> </w:t>
      </w:r>
      <w:r w:rsidRPr="00427754">
        <w:t>l'agricoltura del carbonio. Il quadro di certificazione della rimozione del carbonio contribuirà a garantire l'identificazione trasparente, attraverso metodologie standardizzate, dell'agricoltura del carbonio e delle soluzioni industriali che rimuovono la CO₂ dall'atmosfera e la immagazzinano a lungo termine»</w:t>
      </w:r>
      <w:r>
        <w:t>.</w:t>
      </w:r>
    </w:p>
    <w:p w14:paraId="24B262FE" w14:textId="77777777" w:rsidR="003C4461" w:rsidRPr="00427754" w:rsidRDefault="003C4461" w:rsidP="003C4461">
      <w:pPr>
        <w:tabs>
          <w:tab w:val="num" w:pos="720"/>
        </w:tabs>
        <w:ind w:left="2268"/>
        <w:jc w:val="both"/>
      </w:pPr>
      <w:r>
        <w:t>Ribadisce</w:t>
      </w:r>
      <w:r w:rsidRPr="00427754">
        <w:t xml:space="preserve"> il concetto Angelo Frascarelli dell’Università di Perugia: «Il carbon farming è l’insieme delle pratiche agricole che favoriscono l’assorbimento dei </w:t>
      </w:r>
      <w:r w:rsidRPr="00427754">
        <w:rPr>
          <w:bCs/>
        </w:rPr>
        <w:t>gas serra</w:t>
      </w:r>
      <w:r w:rsidRPr="00427754">
        <w:rPr>
          <w:b/>
          <w:bCs/>
        </w:rPr>
        <w:t xml:space="preserve"> </w:t>
      </w:r>
      <w:r w:rsidRPr="00427754">
        <w:t xml:space="preserve">nel suolo e nella vegetazione. </w:t>
      </w:r>
      <w:r>
        <w:t xml:space="preserve">Il </w:t>
      </w:r>
      <w:r w:rsidRPr="00427754">
        <w:t>carbon farming comprende: assorbimento del carbonio nel suolo dall’atmosfera; emissioni di gas serra evitate/ridotte rispetto alle pratiche tradizionali; aumento della biodiversità e conservazione degli ecosistemi».</w:t>
      </w:r>
      <w:r>
        <w:t xml:space="preserve"> </w:t>
      </w:r>
      <w:r w:rsidRPr="00427754">
        <w:t>Oltre a costituire una nuova fonte di reddito per l’agricoltore, per Frascarelli l’adozione di pratiche di carbon farming fornisce dei co-benefici: resistenza a fattori abiotici e biotici, preservazione del suolo, riduzione dei fenomeni erosivi, aumento della produttività delle colture e del suolo; generazione di un elevato turnover della biomassa sopra e sotto il suolo. «Il carbon farming</w:t>
      </w:r>
      <w:r>
        <w:t>,</w:t>
      </w:r>
      <w:r w:rsidRPr="00427754">
        <w:t xml:space="preserve"> quindi</w:t>
      </w:r>
      <w:r>
        <w:t>,</w:t>
      </w:r>
      <w:r w:rsidRPr="00427754">
        <w:t xml:space="preserve"> non solo consente all’agricoltore di contribuire alla mitigazione dei cambiamenti climatici ma aumenta anche la </w:t>
      </w:r>
      <w:r w:rsidRPr="00427754">
        <w:rPr>
          <w:bCs/>
        </w:rPr>
        <w:t>resilienza dei sistemi agricoli al cambiamento climatico».</w:t>
      </w:r>
    </w:p>
    <w:p w14:paraId="6A8C5E32" w14:textId="77777777" w:rsidR="003C4461" w:rsidRPr="005F7621" w:rsidRDefault="003C4461" w:rsidP="003C4461">
      <w:pPr>
        <w:ind w:left="2268"/>
        <w:jc w:val="both"/>
      </w:pPr>
      <w:r>
        <w:t>S</w:t>
      </w:r>
      <w:r w:rsidRPr="00427754">
        <w:t>ul fronte normativo</w:t>
      </w:r>
      <w:r>
        <w:t xml:space="preserve"> tuttavia</w:t>
      </w:r>
      <w:r w:rsidRPr="00427754">
        <w:t xml:space="preserve"> i passi da fare paiono ancora numerosi.</w:t>
      </w:r>
      <w:r>
        <w:t xml:space="preserve"> </w:t>
      </w:r>
      <w:r w:rsidRPr="00427754">
        <w:t xml:space="preserve">Dopo la pubblicazione, il 30 novembre 2022 della </w:t>
      </w:r>
      <w:r w:rsidRPr="00427754">
        <w:rPr>
          <w:bCs/>
        </w:rPr>
        <w:t>Proposta di Regolamento per la certificazione degli assorbimenti di carbonio (</w:t>
      </w:r>
      <w:proofErr w:type="spellStart"/>
      <w:r w:rsidRPr="00427754">
        <w:rPr>
          <w:bCs/>
        </w:rPr>
        <w:t>Crcf</w:t>
      </w:r>
      <w:proofErr w:type="spellEnd"/>
      <w:r w:rsidRPr="00427754">
        <w:rPr>
          <w:bCs/>
        </w:rPr>
        <w:t>), nel n</w:t>
      </w:r>
      <w:r w:rsidRPr="00427754">
        <w:t>ovembre 2023 il testo è stato emendato da Consiglio e Parlamento europeo. Nel febbraio 2024 e nell’aprile 2024 sono stati siglati gli Accordi provvisori sul regolamento raggiunto da Parlamento e Consiglio europeo. E fra aprile e ottobre 2024 sono state stilate le modifiche da parte del Consiglio con una nuova approvazione del Parlamento</w:t>
      </w:r>
      <w:r>
        <w:t>.</w:t>
      </w:r>
      <w:r w:rsidRPr="00427754">
        <w:t xml:space="preserve"> «I prossimi passi – riprende Frascarelli – sono la pubblicazione del regolamento </w:t>
      </w:r>
      <w:proofErr w:type="spellStart"/>
      <w:r w:rsidRPr="00427754">
        <w:t>Crcf</w:t>
      </w:r>
      <w:proofErr w:type="spellEnd"/>
      <w:r w:rsidRPr="00427754">
        <w:t xml:space="preserve"> in Gazzetta, prevista entro </w:t>
      </w:r>
      <w:r w:rsidRPr="00427754">
        <w:rPr>
          <w:bCs/>
        </w:rPr>
        <w:t>dicembre 2024, la p</w:t>
      </w:r>
      <w:r w:rsidRPr="00427754">
        <w:t xml:space="preserve">ubblicazione dell’atto delegato, </w:t>
      </w:r>
      <w:r w:rsidRPr="00427754">
        <w:rPr>
          <w:bCs/>
        </w:rPr>
        <w:t xml:space="preserve">entro dicembre 2025 e, soprattutto, l’avvio del mercato dei crediti di carbonio, entro </w:t>
      </w:r>
      <w:r w:rsidRPr="00427754">
        <w:t xml:space="preserve">il </w:t>
      </w:r>
      <w:proofErr w:type="gramStart"/>
      <w:r w:rsidRPr="00427754">
        <w:rPr>
          <w:bCs/>
        </w:rPr>
        <w:t xml:space="preserve">1 </w:t>
      </w:r>
      <w:r>
        <w:rPr>
          <w:bCs/>
        </w:rPr>
        <w:t>g</w:t>
      </w:r>
      <w:r w:rsidRPr="00427754">
        <w:rPr>
          <w:bCs/>
        </w:rPr>
        <w:t>ennaio</w:t>
      </w:r>
      <w:proofErr w:type="gramEnd"/>
      <w:r w:rsidRPr="00427754">
        <w:rPr>
          <w:bCs/>
        </w:rPr>
        <w:t xml:space="preserve"> 2026»</w:t>
      </w:r>
      <w:r>
        <w:rPr>
          <w:bCs/>
        </w:rPr>
        <w:t>.</w:t>
      </w:r>
    </w:p>
    <w:p w14:paraId="47D9B3C3" w14:textId="77777777" w:rsidR="003C4461" w:rsidRDefault="003C4461" w:rsidP="003C4461">
      <w:pPr>
        <w:ind w:left="2268"/>
        <w:jc w:val="both"/>
        <w:rPr>
          <w:bCs/>
        </w:rPr>
      </w:pPr>
    </w:p>
    <w:p w14:paraId="68162682" w14:textId="77777777" w:rsidR="003C4461" w:rsidRDefault="003C4461" w:rsidP="003C4461">
      <w:pPr>
        <w:ind w:left="2268"/>
        <w:jc w:val="both"/>
        <w:rPr>
          <w:bCs/>
        </w:rPr>
      </w:pPr>
    </w:p>
    <w:p w14:paraId="34282372" w14:textId="77777777" w:rsidR="003C4461" w:rsidRDefault="003C4461" w:rsidP="003C4461">
      <w:pPr>
        <w:ind w:left="2268"/>
        <w:jc w:val="both"/>
        <w:rPr>
          <w:bCs/>
        </w:rPr>
      </w:pPr>
    </w:p>
    <w:p w14:paraId="1885E064" w14:textId="77777777" w:rsidR="003C4461" w:rsidRDefault="003C4461" w:rsidP="003C4461">
      <w:pPr>
        <w:ind w:left="2268"/>
        <w:jc w:val="both"/>
        <w:rPr>
          <w:bCs/>
        </w:rPr>
      </w:pPr>
    </w:p>
    <w:p w14:paraId="26069FA6" w14:textId="02E4A475" w:rsidR="003C4461" w:rsidRPr="00427754" w:rsidRDefault="003C4461" w:rsidP="003C4461">
      <w:pPr>
        <w:ind w:left="2268"/>
        <w:jc w:val="both"/>
      </w:pPr>
      <w:r w:rsidRPr="00427754">
        <w:rPr>
          <w:bCs/>
        </w:rPr>
        <w:t>Le lavorazioni e la meccanizzazione possono incidere notevolmente sulla gestione del carbonio.</w:t>
      </w:r>
      <w:r>
        <w:t xml:space="preserve"> </w:t>
      </w:r>
      <w:r w:rsidRPr="00427754">
        <w:t xml:space="preserve">«Affiancare l’agricoltura di precisione all’agricoltura conservativa è strategico – rimarca l’agronomo padovano Lorenzo Benvenuti - soprattutto se si aspira a sfruttare il Carbon </w:t>
      </w:r>
      <w:proofErr w:type="spellStart"/>
      <w:r w:rsidRPr="00427754">
        <w:t>Sink</w:t>
      </w:r>
      <w:proofErr w:type="spellEnd"/>
      <w:r w:rsidRPr="00427754">
        <w:t xml:space="preserve"> in chiave politica ed </w:t>
      </w:r>
      <w:r>
        <w:t xml:space="preserve">economica, come </w:t>
      </w:r>
      <w:proofErr w:type="spellStart"/>
      <w:r>
        <w:t>tracciabilita</w:t>
      </w:r>
      <w:proofErr w:type="spellEnd"/>
      <w:r w:rsidRPr="00427754">
        <w:t xml:space="preserve">. Il ‘Carbon </w:t>
      </w:r>
      <w:proofErr w:type="spellStart"/>
      <w:r w:rsidRPr="00427754">
        <w:t>Sink</w:t>
      </w:r>
      <w:proofErr w:type="spellEnd"/>
      <w:r w:rsidRPr="00427754">
        <w:t xml:space="preserve">’ è </w:t>
      </w:r>
      <w:r>
        <w:t xml:space="preserve">anche </w:t>
      </w:r>
      <w:r w:rsidRPr="00427754">
        <w:t>occasione di sinecologia, di fertilità, di riduzione d</w:t>
      </w:r>
      <w:r>
        <w:t>e</w:t>
      </w:r>
      <w:r w:rsidRPr="00427754">
        <w:t xml:space="preserve">i costi di coltivazione. Una via per il Carbon </w:t>
      </w:r>
      <w:proofErr w:type="spellStart"/>
      <w:r w:rsidRPr="00427754">
        <w:t>sink</w:t>
      </w:r>
      <w:proofErr w:type="spellEnd"/>
      <w:r w:rsidRPr="00427754">
        <w:t xml:space="preserve"> la troviamo nell’agricoltura conservativa che chiede minime lavorazioni, cover </w:t>
      </w:r>
      <w:proofErr w:type="spellStart"/>
      <w:r w:rsidRPr="00427754">
        <w:t>crop</w:t>
      </w:r>
      <w:proofErr w:type="spellEnd"/>
      <w:r w:rsidRPr="00427754">
        <w:t xml:space="preserve"> e un approccio elastico.</w:t>
      </w:r>
      <w:r>
        <w:t xml:space="preserve"> </w:t>
      </w:r>
      <w:r w:rsidRPr="00427754">
        <w:t>Agricoltura conservativa che si sposa bene con quella di precisione e porta con sé la rigenerazione del suolo, la riattivazione della fertilità, la produzione di diversi servizi ecosistemici</w:t>
      </w:r>
      <w:r>
        <w:t>».</w:t>
      </w:r>
    </w:p>
    <w:p w14:paraId="6EF0B5AC" w14:textId="69C3D92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372C8417" w14:textId="6F81E286" w:rsidR="00774B84" w:rsidRPr="004A0CB8" w:rsidRDefault="00B31DBE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E84EF4">
        <w:rPr>
          <w:b/>
          <w:bCs/>
          <w:i/>
          <w:iCs/>
          <w:sz w:val="23"/>
          <w:szCs w:val="23"/>
        </w:rPr>
        <w:t>9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95A10" w14:textId="77777777" w:rsidR="009218E9" w:rsidRDefault="009218E9">
      <w:r>
        <w:separator/>
      </w:r>
    </w:p>
  </w:endnote>
  <w:endnote w:type="continuationSeparator" w:id="0">
    <w:p w14:paraId="6135420C" w14:textId="77777777" w:rsidR="009218E9" w:rsidRDefault="0092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3DC6E" w14:textId="77777777" w:rsidR="009218E9" w:rsidRDefault="009218E9">
      <w:r>
        <w:separator/>
      </w:r>
    </w:p>
  </w:footnote>
  <w:footnote w:type="continuationSeparator" w:id="0">
    <w:p w14:paraId="1ACF35BF" w14:textId="77777777" w:rsidR="009218E9" w:rsidRDefault="0092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92F10"/>
    <w:rsid w:val="000B5BE7"/>
    <w:rsid w:val="000C42E5"/>
    <w:rsid w:val="000C552A"/>
    <w:rsid w:val="000F306D"/>
    <w:rsid w:val="00123F64"/>
    <w:rsid w:val="00131C1D"/>
    <w:rsid w:val="00132C83"/>
    <w:rsid w:val="0016465E"/>
    <w:rsid w:val="001C4FAA"/>
    <w:rsid w:val="001E4BD1"/>
    <w:rsid w:val="001E5DAA"/>
    <w:rsid w:val="001E6D16"/>
    <w:rsid w:val="001F54A2"/>
    <w:rsid w:val="002205D6"/>
    <w:rsid w:val="00261159"/>
    <w:rsid w:val="002C3A99"/>
    <w:rsid w:val="002D6176"/>
    <w:rsid w:val="002E2AD6"/>
    <w:rsid w:val="003728AA"/>
    <w:rsid w:val="0038239F"/>
    <w:rsid w:val="00392F74"/>
    <w:rsid w:val="003B7256"/>
    <w:rsid w:val="003C4461"/>
    <w:rsid w:val="003E0060"/>
    <w:rsid w:val="004043E1"/>
    <w:rsid w:val="00427A0F"/>
    <w:rsid w:val="00451607"/>
    <w:rsid w:val="00455C8D"/>
    <w:rsid w:val="004839AE"/>
    <w:rsid w:val="004A0CB8"/>
    <w:rsid w:val="004D7DCB"/>
    <w:rsid w:val="00557A6D"/>
    <w:rsid w:val="00577A51"/>
    <w:rsid w:val="00590BF8"/>
    <w:rsid w:val="006003F7"/>
    <w:rsid w:val="006761F4"/>
    <w:rsid w:val="006E0FCB"/>
    <w:rsid w:val="006E2603"/>
    <w:rsid w:val="006E6251"/>
    <w:rsid w:val="007148A8"/>
    <w:rsid w:val="00725234"/>
    <w:rsid w:val="00745F6A"/>
    <w:rsid w:val="00751C16"/>
    <w:rsid w:val="00774B84"/>
    <w:rsid w:val="007870B2"/>
    <w:rsid w:val="007912B3"/>
    <w:rsid w:val="007A5169"/>
    <w:rsid w:val="007C31B2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218E9"/>
    <w:rsid w:val="00945712"/>
    <w:rsid w:val="009D6A2D"/>
    <w:rsid w:val="009F22FB"/>
    <w:rsid w:val="00A56821"/>
    <w:rsid w:val="00A64A4D"/>
    <w:rsid w:val="00A676B9"/>
    <w:rsid w:val="00A93E3E"/>
    <w:rsid w:val="00AE5CFA"/>
    <w:rsid w:val="00AF57A6"/>
    <w:rsid w:val="00AF7E95"/>
    <w:rsid w:val="00B31DBE"/>
    <w:rsid w:val="00B50AE0"/>
    <w:rsid w:val="00B537C4"/>
    <w:rsid w:val="00B83EF9"/>
    <w:rsid w:val="00B84DF0"/>
    <w:rsid w:val="00BA10D3"/>
    <w:rsid w:val="00BA64C4"/>
    <w:rsid w:val="00BC5F3E"/>
    <w:rsid w:val="00BD3494"/>
    <w:rsid w:val="00BF58EF"/>
    <w:rsid w:val="00C31F12"/>
    <w:rsid w:val="00C426DE"/>
    <w:rsid w:val="00C70A53"/>
    <w:rsid w:val="00C746C2"/>
    <w:rsid w:val="00C75C43"/>
    <w:rsid w:val="00CA0B36"/>
    <w:rsid w:val="00CB5D46"/>
    <w:rsid w:val="00CE1062"/>
    <w:rsid w:val="00CF1420"/>
    <w:rsid w:val="00CF5BC8"/>
    <w:rsid w:val="00D32333"/>
    <w:rsid w:val="00D3234E"/>
    <w:rsid w:val="00D36EF7"/>
    <w:rsid w:val="00D65F12"/>
    <w:rsid w:val="00DC159E"/>
    <w:rsid w:val="00DD0A4A"/>
    <w:rsid w:val="00DD36A6"/>
    <w:rsid w:val="00DE42DB"/>
    <w:rsid w:val="00DE6CC7"/>
    <w:rsid w:val="00E041D8"/>
    <w:rsid w:val="00E34961"/>
    <w:rsid w:val="00E62EF9"/>
    <w:rsid w:val="00E71BF4"/>
    <w:rsid w:val="00E84EF4"/>
    <w:rsid w:val="00E90625"/>
    <w:rsid w:val="00E972F1"/>
    <w:rsid w:val="00EC2BD8"/>
    <w:rsid w:val="00ED199A"/>
    <w:rsid w:val="00F97AD1"/>
    <w:rsid w:val="00FA2B6E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whitespace-pre-wrap">
    <w:name w:val="whitespace-pre-wrap"/>
    <w:basedOn w:val="Normale"/>
    <w:rsid w:val="004516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2</cp:revision>
  <cp:lastPrinted>2024-11-08T15:16:00Z</cp:lastPrinted>
  <dcterms:created xsi:type="dcterms:W3CDTF">2024-11-09T09:09:00Z</dcterms:created>
  <dcterms:modified xsi:type="dcterms:W3CDTF">2024-11-09T09:09:00Z</dcterms:modified>
</cp:coreProperties>
</file>